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B87AB6" w14:textId="77777777" w:rsidR="00115F45" w:rsidRDefault="00B14681">
      <w:pPr>
        <w:pStyle w:val="Title"/>
        <w:contextualSpacing w:val="0"/>
      </w:pPr>
      <w:bookmarkStart w:id="0" w:name="_f56utcue3vsk" w:colFirst="0" w:colLast="0"/>
      <w:bookmarkStart w:id="1" w:name="_GoBack"/>
      <w:bookmarkEnd w:id="0"/>
      <w:bookmarkEnd w:id="1"/>
      <w:r>
        <w:t>The six security services at a glance</w:t>
      </w:r>
    </w:p>
    <w:tbl>
      <w:tblPr>
        <w:tblStyle w:val="a"/>
        <w:tblW w:w="21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6"/>
        <w:gridCol w:w="3218"/>
        <w:gridCol w:w="3218"/>
        <w:gridCol w:w="3217"/>
        <w:gridCol w:w="3217"/>
        <w:gridCol w:w="3217"/>
        <w:gridCol w:w="3217"/>
      </w:tblGrid>
      <w:tr w:rsidR="00115F45" w14:paraId="2336A711" w14:textId="77777777">
        <w:trPr>
          <w:trHeight w:val="420"/>
        </w:trPr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63CC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643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4E1E" w14:textId="77777777" w:rsidR="00115F45" w:rsidRDefault="00B14681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Risk</w:t>
            </w:r>
          </w:p>
        </w:tc>
        <w:tc>
          <w:tcPr>
            <w:tcW w:w="1286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B9E6" w14:textId="77777777" w:rsidR="00115F45" w:rsidRDefault="00B14681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Operations</w:t>
            </w:r>
          </w:p>
        </w:tc>
      </w:tr>
      <w:tr w:rsidR="00115F45" w14:paraId="5DFFBACA" w14:textId="77777777">
        <w:trPr>
          <w:trHeight w:val="420"/>
        </w:trPr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EA0E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Lifecycle</w:t>
            </w:r>
          </w:p>
        </w:tc>
        <w:tc>
          <w:tcPr>
            <w:tcW w:w="965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DB60" w14:textId="77777777" w:rsidR="00115F45" w:rsidRDefault="00B14681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C5E0" w14:textId="77777777" w:rsidR="00115F45" w:rsidRDefault="00B14681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Deploy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DE3F" w14:textId="77777777" w:rsidR="00115F45" w:rsidRDefault="00B14681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Operate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CF62" w14:textId="77777777" w:rsidR="00115F45" w:rsidRDefault="00B14681">
            <w:pPr>
              <w:widowControl w:val="0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Breach</w:t>
            </w:r>
          </w:p>
        </w:tc>
      </w:tr>
      <w:tr w:rsidR="00115F45" w14:paraId="6D2CDFF0" w14:textId="77777777"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CF92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D500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Strategy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4D59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Policies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1BD6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Architecture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A5AD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Penetration Testing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BBE3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Monitoring and Alerting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A55E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Incident Response</w:t>
            </w:r>
          </w:p>
        </w:tc>
      </w:tr>
      <w:tr w:rsidR="00115F45" w14:paraId="48E54410" w14:textId="77777777"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F465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AA6B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Define how the organisation will respond to cyberthreats in a 5 year window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C215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Define acceptable and expected behaviour in the light of anticipated threats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792B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Define the security architecture for the organisation and ensure that new deployments are designed in line with the security architecture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42C8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Ensure that software and infrastructure aligns with security expectations at the point of deployment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DC8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Ensure that event</w:t>
            </w:r>
            <w:r>
              <w:t>s are monitored and categorised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1A34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Respond to security incidents</w:t>
            </w:r>
          </w:p>
        </w:tc>
      </w:tr>
      <w:tr w:rsidR="00115F45" w14:paraId="377AC316" w14:textId="77777777"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E75E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Service Management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B48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Who: CISO or executive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4FE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Who: CISO or executive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14A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Who: Chief Architect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5265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 xml:space="preserve">Who: 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B7D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Who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BA6D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Who</w:t>
            </w:r>
          </w:p>
        </w:tc>
      </w:tr>
      <w:tr w:rsidR="00115F45" w14:paraId="1F7DDC68" w14:textId="77777777"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F483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Service Processes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376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Monitor intelligence</w:t>
            </w:r>
          </w:p>
          <w:p w14:paraId="4A916753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Assess past incidents</w:t>
            </w:r>
          </w:p>
          <w:p w14:paraId="4735AD20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Categorise threats</w:t>
            </w:r>
          </w:p>
          <w:p w14:paraId="713F8A86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Verbalise threats</w:t>
            </w:r>
          </w:p>
          <w:p w14:paraId="2DB23815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Develop strategy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4BC8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Classify information</w:t>
            </w:r>
          </w:p>
          <w:p w14:paraId="0A4DFC72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Develop policy</w:t>
            </w:r>
          </w:p>
          <w:p w14:paraId="6CDA4B26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Manage policy adoption</w:t>
            </w:r>
          </w:p>
          <w:p w14:paraId="0D81D15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Publish policy</w:t>
            </w:r>
          </w:p>
          <w:p w14:paraId="4847C21A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Monitor and test compliance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49B3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Develop Reference Architecture</w:t>
            </w:r>
          </w:p>
          <w:p w14:paraId="678DFAD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Maintain Reference Architecture</w:t>
            </w:r>
          </w:p>
          <w:p w14:paraId="4CDE023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Assess solution Architecture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FE6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Configuration review</w:t>
            </w:r>
          </w:p>
          <w:p w14:paraId="0015B01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Patch review</w:t>
            </w:r>
          </w:p>
          <w:p w14:paraId="5B11D63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Penetration testing report</w:t>
            </w:r>
          </w:p>
          <w:p w14:paraId="565511F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Responsible disclosure</w:t>
            </w:r>
          </w:p>
          <w:p w14:paraId="189E36FA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Bug fixes</w:t>
            </w:r>
          </w:p>
          <w:p w14:paraId="08AFC1E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Checks for bug fixes</w:t>
            </w:r>
          </w:p>
          <w:p w14:paraId="59AF8846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Documentation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C3D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Log monitoring</w:t>
            </w:r>
          </w:p>
          <w:p w14:paraId="6464E3D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Security operations monitoring (AV, access logs, IDS and others)</w:t>
            </w:r>
          </w:p>
          <w:p w14:paraId="0D85E662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Alerting</w:t>
            </w:r>
          </w:p>
          <w:p w14:paraId="64E3FC5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Investigations</w:t>
            </w:r>
          </w:p>
          <w:p w14:paraId="19538A8B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Threat intelligence sharing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A52D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plannin</w:t>
            </w:r>
            <w:r>
              <w:t>g</w:t>
            </w:r>
          </w:p>
          <w:p w14:paraId="752B8F6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triage</w:t>
            </w:r>
          </w:p>
          <w:p w14:paraId="23295D6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remediation</w:t>
            </w:r>
          </w:p>
          <w:p w14:paraId="04F0089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Outside reporting</w:t>
            </w:r>
          </w:p>
          <w:p w14:paraId="07854A3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reporting</w:t>
            </w:r>
          </w:p>
        </w:tc>
      </w:tr>
      <w:tr w:rsidR="00115F45" w14:paraId="3140BF47" w14:textId="77777777"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37E1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Integration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921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 Service</w:t>
            </w:r>
          </w:p>
          <w:p w14:paraId="4C5391D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Response Service</w:t>
            </w:r>
          </w:p>
          <w:p w14:paraId="3D0FCCFD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Architecture Service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C97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Strategy</w:t>
            </w:r>
          </w:p>
          <w:p w14:paraId="5139E0D5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Monitoring and alerting</w:t>
            </w:r>
          </w:p>
          <w:p w14:paraId="3473211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End user computing</w:t>
            </w:r>
          </w:p>
          <w:p w14:paraId="3FC98E2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IT Administration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5DDB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Strategy Service</w:t>
            </w:r>
          </w:p>
          <w:p w14:paraId="69437A8A" w14:textId="77777777" w:rsidR="00115F45" w:rsidRDefault="00115F45">
            <w:pPr>
              <w:widowControl w:val="0"/>
              <w:spacing w:line="240" w:lineRule="auto"/>
              <w:jc w:val="left"/>
            </w:pP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F41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Quality Assurance Testing</w:t>
            </w:r>
          </w:p>
          <w:p w14:paraId="716229F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Software Development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E238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IT Operations</w:t>
            </w:r>
          </w:p>
          <w:p w14:paraId="23805C6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</w:t>
            </w:r>
          </w:p>
          <w:p w14:paraId="0E64CD82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Strategy</w:t>
            </w:r>
          </w:p>
          <w:p w14:paraId="4C2CA6A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management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37D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management</w:t>
            </w:r>
          </w:p>
          <w:p w14:paraId="382652B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Monitoring and Alerting</w:t>
            </w:r>
          </w:p>
        </w:tc>
      </w:tr>
      <w:tr w:rsidR="00115F45" w14:paraId="33B0E559" w14:textId="77777777"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DD7D" w14:textId="77777777" w:rsidR="00115F45" w:rsidRDefault="00B14681">
            <w:pPr>
              <w:rPr>
                <w:b/>
              </w:rPr>
            </w:pPr>
            <w:r>
              <w:rPr>
                <w:b/>
              </w:rPr>
              <w:t>Practice maturity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BBDF4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Low</w:t>
            </w:r>
          </w:p>
          <w:p w14:paraId="39D326A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Default strategy or no strategy</w:t>
            </w:r>
          </w:p>
          <w:p w14:paraId="747F063F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481F8B75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Medium</w:t>
            </w:r>
          </w:p>
          <w:p w14:paraId="7D35E8FB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Strategy Development</w:t>
            </w:r>
          </w:p>
          <w:p w14:paraId="1837F174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Communication with Board</w:t>
            </w:r>
          </w:p>
          <w:p w14:paraId="3536A3D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Strategy Review</w:t>
            </w:r>
          </w:p>
          <w:p w14:paraId="0C375701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42117F2E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High</w:t>
            </w:r>
          </w:p>
          <w:p w14:paraId="3448DBE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Alignment with outside partners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1997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Low</w:t>
            </w:r>
          </w:p>
          <w:p w14:paraId="6C24B7C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No policies</w:t>
            </w:r>
          </w:p>
          <w:p w14:paraId="57AB4C25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61951536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Medium</w:t>
            </w:r>
          </w:p>
          <w:p w14:paraId="2F5B966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 developed, but not adopted and communicated</w:t>
            </w:r>
          </w:p>
          <w:p w14:paraId="67A6BD52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02B9D7F2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High</w:t>
            </w:r>
          </w:p>
          <w:p w14:paraId="2E9E1AA2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 developed</w:t>
            </w:r>
          </w:p>
          <w:p w14:paraId="027089C8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 adopted</w:t>
            </w:r>
          </w:p>
          <w:p w14:paraId="3262685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 communicated</w:t>
            </w:r>
          </w:p>
          <w:p w14:paraId="044AA62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Policies refreshed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2C5D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Low</w:t>
            </w:r>
          </w:p>
          <w:p w14:paraId="1313D1D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No security designs, or security theatre</w:t>
            </w:r>
          </w:p>
          <w:p w14:paraId="7A65E7B7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327743AE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Medium</w:t>
            </w:r>
          </w:p>
          <w:p w14:paraId="246C28C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Security considered as an aspect in the design</w:t>
            </w:r>
          </w:p>
          <w:p w14:paraId="64652778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17A803E2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High</w:t>
            </w:r>
          </w:p>
          <w:p w14:paraId="23A9AE0D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Security reference architecture</w:t>
            </w:r>
          </w:p>
          <w:p w14:paraId="3F86DDF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Security designs</w:t>
            </w:r>
          </w:p>
          <w:p w14:paraId="33FF5F19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Threat modelling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054A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Low</w:t>
            </w:r>
          </w:p>
          <w:p w14:paraId="2107E57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Automated scanning</w:t>
            </w:r>
          </w:p>
          <w:p w14:paraId="46FACA31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No penetration testing</w:t>
            </w:r>
          </w:p>
          <w:p w14:paraId="1E2B89FA" w14:textId="77777777" w:rsidR="00115F45" w:rsidRDefault="00115F45">
            <w:pPr>
              <w:widowControl w:val="0"/>
              <w:spacing w:line="240" w:lineRule="auto"/>
              <w:jc w:val="left"/>
            </w:pPr>
          </w:p>
          <w:p w14:paraId="0758FCF0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Medium</w:t>
            </w:r>
          </w:p>
          <w:p w14:paraId="7BEC30BE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Manual penetration testing</w:t>
            </w:r>
          </w:p>
          <w:p w14:paraId="2F16D3A6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19C24D11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High</w:t>
            </w:r>
          </w:p>
          <w:p w14:paraId="4E133CC6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</w:t>
            </w:r>
            <w:r>
              <w:t>utomated code checks</w:t>
            </w:r>
          </w:p>
          <w:p w14:paraId="530F493A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Code reviews</w:t>
            </w:r>
          </w:p>
          <w:p w14:paraId="0C7912F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Fuzzing</w:t>
            </w:r>
          </w:p>
          <w:p w14:paraId="1BDA0A04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Chaos monkey testing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0556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Low</w:t>
            </w:r>
          </w:p>
          <w:p w14:paraId="393C6B77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No logs or no log intelligence</w:t>
            </w:r>
          </w:p>
          <w:p w14:paraId="5DF3890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Logs on individual hosts</w:t>
            </w:r>
          </w:p>
          <w:p w14:paraId="62DD82E0" w14:textId="77777777" w:rsidR="00115F45" w:rsidRDefault="00115F45">
            <w:pPr>
              <w:widowControl w:val="0"/>
              <w:spacing w:line="240" w:lineRule="auto"/>
              <w:jc w:val="left"/>
            </w:pPr>
          </w:p>
          <w:p w14:paraId="66F2AC55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Medium</w:t>
            </w:r>
          </w:p>
          <w:p w14:paraId="06CA145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Centralised logging</w:t>
            </w:r>
          </w:p>
          <w:p w14:paraId="117C2BA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Unified time</w:t>
            </w:r>
          </w:p>
          <w:p w14:paraId="63A430EF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IDS, AV logs centralised</w:t>
            </w:r>
          </w:p>
          <w:p w14:paraId="2CF63DA8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Automated alerting</w:t>
            </w:r>
          </w:p>
          <w:p w14:paraId="7DA82108" w14:textId="77777777" w:rsidR="00115F45" w:rsidRDefault="00115F45">
            <w:pPr>
              <w:widowControl w:val="0"/>
              <w:spacing w:line="240" w:lineRule="auto"/>
              <w:jc w:val="left"/>
            </w:pPr>
          </w:p>
          <w:p w14:paraId="3608294A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High</w:t>
            </w:r>
          </w:p>
          <w:p w14:paraId="7224DF9C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Searchable logs</w:t>
            </w:r>
          </w:p>
          <w:p w14:paraId="0BA35AD0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Threat hunting</w:t>
            </w:r>
          </w:p>
        </w:tc>
        <w:tc>
          <w:tcPr>
            <w:tcW w:w="32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89D9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Low</w:t>
            </w:r>
          </w:p>
          <w:p w14:paraId="5EB80AB8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Chaos</w:t>
            </w:r>
          </w:p>
          <w:p w14:paraId="55801A39" w14:textId="77777777" w:rsidR="00115F45" w:rsidRDefault="00115F45">
            <w:pPr>
              <w:widowControl w:val="0"/>
              <w:spacing w:line="240" w:lineRule="auto"/>
              <w:jc w:val="left"/>
              <w:rPr>
                <w:i/>
              </w:rPr>
            </w:pPr>
          </w:p>
          <w:p w14:paraId="2E7ACD55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Medium</w:t>
            </w:r>
          </w:p>
          <w:p w14:paraId="3823FA70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Planned response / cleanup</w:t>
            </w:r>
          </w:p>
          <w:p w14:paraId="574B7C3E" w14:textId="77777777" w:rsidR="00115F45" w:rsidRDefault="00115F45">
            <w:pPr>
              <w:widowControl w:val="0"/>
              <w:spacing w:line="240" w:lineRule="auto"/>
              <w:jc w:val="left"/>
            </w:pPr>
          </w:p>
          <w:p w14:paraId="05EA4366" w14:textId="77777777" w:rsidR="00115F45" w:rsidRDefault="00B14681">
            <w:pPr>
              <w:widowControl w:val="0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High</w:t>
            </w:r>
          </w:p>
          <w:p w14:paraId="0728509D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Attack type analysis</w:t>
            </w:r>
          </w:p>
          <w:p w14:paraId="30A93F20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Root cause analysis</w:t>
            </w:r>
          </w:p>
          <w:p w14:paraId="67E768EB" w14:textId="77777777" w:rsidR="00115F45" w:rsidRDefault="00B14681">
            <w:pPr>
              <w:widowControl w:val="0"/>
              <w:spacing w:line="240" w:lineRule="auto"/>
              <w:jc w:val="left"/>
            </w:pPr>
            <w:r>
              <w:t>Incident loop closure (structured improvement)</w:t>
            </w:r>
          </w:p>
        </w:tc>
      </w:tr>
    </w:tbl>
    <w:p w14:paraId="245B6957" w14:textId="77777777" w:rsidR="00115F45" w:rsidRDefault="00115F45"/>
    <w:p w14:paraId="61E4F88F" w14:textId="77777777" w:rsidR="00115F45" w:rsidRDefault="00B14681">
      <w:pPr>
        <w:jc w:val="right"/>
      </w:pPr>
      <w:r>
        <w:t>© Hinne Hettema, 2017</w:t>
      </w:r>
    </w:p>
    <w:sectPr w:rsidR="00115F45">
      <w:pgSz w:w="23811" w:h="16838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115F45"/>
    <w:rsid w:val="00115F45"/>
    <w:rsid w:val="00B1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A7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0" w:after="120"/>
      <w:contextualSpacing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0" w:after="120"/>
      <w:contextualSpacing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  <w:contextualSpacing/>
    </w:pPr>
    <w:rPr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contextualSpacing/>
    </w:pPr>
    <w:rPr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Macintosh Word</Application>
  <DocSecurity>0</DocSecurity>
  <Lines>19</Lines>
  <Paragraphs>5</Paragraphs>
  <ScaleCrop>false</ScaleCrop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Shah Sahari</cp:lastModifiedBy>
  <cp:revision>2</cp:revision>
  <cp:lastPrinted>2017-06-27T02:23:00Z</cp:lastPrinted>
  <dcterms:created xsi:type="dcterms:W3CDTF">2017-06-27T02:25:00Z</dcterms:created>
  <dcterms:modified xsi:type="dcterms:W3CDTF">2017-06-27T02:25:00Z</dcterms:modified>
</cp:coreProperties>
</file>